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06" w:rsidRPr="007E2506" w:rsidRDefault="007E2506" w:rsidP="007E2506">
      <w:pPr>
        <w:bidi/>
        <w:spacing w:line="360" w:lineRule="auto"/>
        <w:jc w:val="center"/>
        <w:rPr>
          <w:rFonts w:ascii="Hacen Tunisia" w:hAnsi="Hacen Tunisia" w:cs="Hacen Tunisia"/>
          <w:b/>
          <w:color w:val="007B9F"/>
          <w:sz w:val="52"/>
          <w:szCs w:val="52"/>
          <w:rtl/>
          <w:lang w:bidi="ar-MA"/>
        </w:rPr>
      </w:pPr>
      <w:r w:rsidRPr="007E2506">
        <w:rPr>
          <w:rFonts w:ascii="Hacen Tunisia" w:hAnsi="Hacen Tunisia" w:cs="Hacen Tunisia"/>
          <w:b/>
          <w:color w:val="007B9F"/>
          <w:sz w:val="52"/>
          <w:szCs w:val="52"/>
          <w:rtl/>
          <w:lang w:bidi="ar-MA"/>
        </w:rPr>
        <w:t>بلاغ صحفي</w:t>
      </w:r>
    </w:p>
    <w:p w:rsidR="007E2506" w:rsidRPr="007E2506" w:rsidRDefault="007E2506" w:rsidP="007E250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MA"/>
        </w:rPr>
      </w:pP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</w:t>
      </w:r>
      <w:r>
        <w:rPr>
          <w:rFonts w:ascii="Adobe Arabic" w:hAnsi="Adobe Arabic" w:cs="Adobe Arabic"/>
          <w:sz w:val="32"/>
          <w:szCs w:val="32"/>
          <w:lang w:bidi="ar-MA"/>
        </w:rPr>
        <w:t xml:space="preserve">      </w:t>
      </w: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-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في إطار الأنشطة الموازية التي تقوم 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بها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 خلية اللغة والتواصل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بالرشيدية،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 بتعاون وشراكة مع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الماستر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المتخصص"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تواصل المنظمات أو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التنظيمات"،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 بكلية الآداب و العلوم الإنسانية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بمكناس،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وبإشراف و مساندة رئاسة جامعة مولاي اسماعيل وبلدية مدينة الرشيدية ومصاحبة كلية العلوم والتقنيات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تنظم الخلية المذكورة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الملتقى الدولي الخامس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لأوراش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التواصل ومنهجيات العمل الجامعي حول موضوع  </w:t>
      </w:r>
      <w:proofErr w:type="spellStart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"</w:t>
      </w:r>
      <w:proofErr w:type="spellEnd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 التواصل </w:t>
      </w:r>
      <w:proofErr w:type="spellStart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البيداغوجي</w:t>
      </w:r>
      <w:proofErr w:type="spellEnd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 في التعليم الجامعي مقاربات وتقنيات </w:t>
      </w:r>
      <w:proofErr w:type="spellStart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"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؛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وذلك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يومي23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, 24/3/2012. </w:t>
      </w:r>
    </w:p>
    <w:p w:rsidR="007E2506" w:rsidRPr="007E2506" w:rsidRDefault="007E2506" w:rsidP="007E2506">
      <w:pPr>
        <w:bidi/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MA"/>
        </w:rPr>
      </w:pP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      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-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من أهداف هذا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الملتقى: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تمكين الأساتذة والطلبة من تعرف  ومناقشة بعض نظريات و تقنيات التواصل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البيداغوجي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في التعليم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العالي،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 دراسة المقاربات الجديدة والممارسات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البيداغوجية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ذات العلاقة بمناهج ومقررات البحث والتكوين ومتطلبات سوق الشغل. </w:t>
      </w:r>
      <w:proofErr w:type="gram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كما</w:t>
      </w:r>
      <w:proofErr w:type="gram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يهدف الملتقى إلى جعل الطلبة قادرين على استعمال هذه التقنيات والأدوات المنهجية وتعبئة مواردهم المعرفية لحل كل وضعية مشكلة في دراساتهم الجامعية وممارساتهم المهنية والمستقبلية.</w:t>
      </w:r>
    </w:p>
    <w:p w:rsidR="007E2506" w:rsidRPr="007E2506" w:rsidRDefault="007E2506" w:rsidP="007E2506">
      <w:pPr>
        <w:bidi/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  <w:lang w:bidi="ar-MA"/>
        </w:rPr>
      </w:pP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       </w:t>
      </w:r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تتضمن أشغال الملتقى:</w:t>
      </w:r>
    </w:p>
    <w:p w:rsidR="007E2506" w:rsidRPr="007E2506" w:rsidRDefault="007E2506" w:rsidP="007E2506">
      <w:pPr>
        <w:numPr>
          <w:ilvl w:val="0"/>
          <w:numId w:val="1"/>
        </w:numPr>
        <w:bidi/>
        <w:spacing w:line="360" w:lineRule="auto"/>
        <w:ind w:left="0" w:firstLine="283"/>
        <w:jc w:val="both"/>
        <w:rPr>
          <w:rFonts w:ascii="Adobe Arabic" w:hAnsi="Adobe Arabic" w:cs="Adobe Arabic"/>
          <w:sz w:val="32"/>
          <w:szCs w:val="32"/>
          <w:rtl/>
          <w:lang w:bidi="ar-MA"/>
        </w:rPr>
      </w:pPr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في اليوم </w:t>
      </w:r>
      <w:proofErr w:type="spellStart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الأول: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عروضا وتدخلات شفوية ومحاضرات يلقيها أساتذة و باحثون و فاعلون من المغرب ومن خارج المغرب.  و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تتمفصل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 هذه الأنش</w:t>
      </w:r>
      <w:proofErr w:type="gram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طة و الأع</w:t>
      </w:r>
      <w:proofErr w:type="gram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مال حول محورين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رئيسيين،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يتناول الأول نظريات التواصل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والتعليم،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بينما يتناول الثاني المقاربات والممارسات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البيداغوجية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والديداكتيكية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الجديدة.</w:t>
      </w:r>
    </w:p>
    <w:p w:rsidR="007E2506" w:rsidRPr="007E2506" w:rsidRDefault="007E2506" w:rsidP="007E2506">
      <w:pPr>
        <w:numPr>
          <w:ilvl w:val="0"/>
          <w:numId w:val="1"/>
        </w:numPr>
        <w:bidi/>
        <w:spacing w:line="360" w:lineRule="auto"/>
        <w:ind w:left="0" w:firstLine="283"/>
        <w:jc w:val="both"/>
        <w:rPr>
          <w:rFonts w:ascii="Adobe Arabic" w:hAnsi="Adobe Arabic" w:cs="Adobe Arabic"/>
          <w:sz w:val="32"/>
          <w:szCs w:val="32"/>
          <w:rtl/>
        </w:rPr>
      </w:pPr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 xml:space="preserve">و في اليوم </w:t>
      </w:r>
      <w:proofErr w:type="spellStart"/>
      <w:r w:rsidRPr="007E2506">
        <w:rPr>
          <w:rFonts w:ascii="Adobe Arabic" w:hAnsi="Adobe Arabic" w:cs="Adobe Arabic"/>
          <w:b/>
          <w:bCs/>
          <w:sz w:val="32"/>
          <w:szCs w:val="32"/>
          <w:rtl/>
          <w:lang w:bidi="ar-MA"/>
        </w:rPr>
        <w:t>الثاني،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ينتظم أزيد من </w:t>
      </w:r>
      <w:r w:rsidRPr="007E2506">
        <w:rPr>
          <w:rFonts w:ascii="Adobe Arabic" w:hAnsi="Adobe Arabic" w:cs="Adobe Arabic"/>
          <w:sz w:val="28"/>
          <w:szCs w:val="28"/>
          <w:rtl/>
          <w:lang w:bidi="ar-MA"/>
        </w:rPr>
        <w:t>500</w:t>
      </w: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طالب،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ينتمون إلى مسالك جامعية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مختلفة،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ناهيك عن التلاميذ المتفوقين في المؤسسات العمومية المحلية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في </w:t>
      </w:r>
      <w:r w:rsidRPr="007E2506">
        <w:rPr>
          <w:rFonts w:ascii="Adobe Arabic" w:hAnsi="Adobe Arabic" w:cs="Adobe Arabic"/>
          <w:sz w:val="28"/>
          <w:szCs w:val="28"/>
          <w:rtl/>
          <w:lang w:bidi="ar-MA"/>
        </w:rPr>
        <w:t>25</w:t>
      </w: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ورشة عمل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.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وستناقش هذه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الورشات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مجموعة من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التيمات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المرتبطة بانشغالات الطالب الجامعي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وانتظاراته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ومتطلباته الدراسية </w:t>
      </w:r>
      <w:proofErr w:type="spellStart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>والمهنية،</w:t>
      </w:r>
      <w:proofErr w:type="spellEnd"/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  بما في ذلك منهجية</w:t>
      </w:r>
      <w:r w:rsidRPr="007E2506">
        <w:rPr>
          <w:rFonts w:ascii="Adobe Arabic" w:hAnsi="Adobe Arabic" w:cs="Adobe Arabic"/>
          <w:sz w:val="32"/>
          <w:szCs w:val="32"/>
          <w:rtl/>
        </w:rPr>
        <w:t xml:space="preserve"> العمل الجامعي وتقنيات التعبير والتواصل.</w:t>
      </w:r>
    </w:p>
    <w:p w:rsidR="007E2506" w:rsidRPr="007E2506" w:rsidRDefault="007E2506" w:rsidP="007E2506">
      <w:pPr>
        <w:pStyle w:val="Titre3"/>
        <w:bidi/>
        <w:jc w:val="both"/>
        <w:rPr>
          <w:rFonts w:ascii="Adobe Arabic" w:hAnsi="Adobe Arabic" w:cs="Adobe Arabic"/>
          <w:sz w:val="28"/>
          <w:szCs w:val="28"/>
          <w:rtl/>
        </w:rPr>
      </w:pPr>
      <w:r w:rsidRPr="007E2506">
        <w:rPr>
          <w:rFonts w:ascii="Adobe Arabic" w:hAnsi="Adobe Arabic" w:cs="Adobe Arabic"/>
          <w:sz w:val="28"/>
          <w:szCs w:val="28"/>
          <w:rtl/>
        </w:rPr>
        <w:t xml:space="preserve">              تتخلل هذه </w:t>
      </w:r>
      <w:proofErr w:type="spellStart"/>
      <w:r w:rsidRPr="007E2506">
        <w:rPr>
          <w:rFonts w:ascii="Adobe Arabic" w:hAnsi="Adobe Arabic" w:cs="Adobe Arabic"/>
          <w:sz w:val="28"/>
          <w:szCs w:val="28"/>
          <w:rtl/>
        </w:rPr>
        <w:t>الديناميةَ</w:t>
      </w:r>
      <w:proofErr w:type="spellEnd"/>
      <w:r w:rsidRPr="007E2506">
        <w:rPr>
          <w:rFonts w:ascii="Adobe Arabic" w:hAnsi="Adobe Arabic" w:cs="Adobe Arabic"/>
          <w:sz w:val="28"/>
          <w:szCs w:val="28"/>
          <w:rtl/>
        </w:rPr>
        <w:t xml:space="preserve"> الفكريةَ عروضٌ فنيةٌ و معرضٌ لوثائق و مراجع حول موضوع الملتقى </w:t>
      </w:r>
      <w:proofErr w:type="spellStart"/>
      <w:r w:rsidRPr="007E2506">
        <w:rPr>
          <w:rFonts w:ascii="Adobe Arabic" w:hAnsi="Adobe Arabic" w:cs="Adobe Arabic"/>
          <w:sz w:val="28"/>
          <w:szCs w:val="28"/>
          <w:rtl/>
        </w:rPr>
        <w:t>.</w:t>
      </w:r>
      <w:proofErr w:type="spellEnd"/>
    </w:p>
    <w:p w:rsidR="007E2506" w:rsidRPr="007E2506" w:rsidRDefault="007E2506" w:rsidP="007E2506">
      <w:pPr>
        <w:numPr>
          <w:ilvl w:val="0"/>
          <w:numId w:val="2"/>
        </w:numPr>
        <w:bidi/>
        <w:spacing w:line="360" w:lineRule="auto"/>
        <w:ind w:left="0" w:firstLine="360"/>
        <w:jc w:val="both"/>
        <w:rPr>
          <w:rFonts w:ascii="Adobe Arabic" w:hAnsi="Adobe Arabic" w:cs="Adobe Arabic"/>
          <w:sz w:val="32"/>
          <w:szCs w:val="32"/>
          <w:lang w:bidi="ar-MA"/>
        </w:rPr>
      </w:pPr>
      <w:r w:rsidRPr="007E2506">
        <w:rPr>
          <w:rFonts w:ascii="Adobe Arabic" w:hAnsi="Adobe Arabic" w:cs="Adobe Arabic"/>
          <w:sz w:val="32"/>
          <w:szCs w:val="32"/>
          <w:rtl/>
        </w:rPr>
        <w:t xml:space="preserve">و </w:t>
      </w:r>
      <w:proofErr w:type="gramStart"/>
      <w:r w:rsidRPr="007E2506">
        <w:rPr>
          <w:rFonts w:ascii="Adobe Arabic" w:hAnsi="Adobe Arabic" w:cs="Adobe Arabic"/>
          <w:sz w:val="32"/>
          <w:szCs w:val="32"/>
          <w:rtl/>
        </w:rPr>
        <w:t>ستختـتم</w:t>
      </w:r>
      <w:proofErr w:type="gramEnd"/>
      <w:r w:rsidRPr="007E2506">
        <w:rPr>
          <w:rFonts w:ascii="Adobe Arabic" w:hAnsi="Adobe Arabic" w:cs="Adobe Arabic"/>
          <w:sz w:val="32"/>
          <w:szCs w:val="32"/>
          <w:rtl/>
        </w:rPr>
        <w:t xml:space="preserve"> أعمال الملتقى بتقديم اللجنة المنظمة ملخصا تركيبيا إجماليا لمختلف القضايا والإشكالات التي ينتظر تداولها و مناقشتها من لدن المشاركين. و </w:t>
      </w:r>
      <w:proofErr w:type="gramStart"/>
      <w:r w:rsidRPr="007E2506">
        <w:rPr>
          <w:rFonts w:ascii="Adobe Arabic" w:hAnsi="Adobe Arabic" w:cs="Adobe Arabic"/>
          <w:sz w:val="32"/>
          <w:szCs w:val="32"/>
          <w:rtl/>
        </w:rPr>
        <w:t>بعد</w:t>
      </w:r>
      <w:proofErr w:type="gramEnd"/>
      <w:r w:rsidRPr="007E2506">
        <w:rPr>
          <w:rFonts w:ascii="Adobe Arabic" w:hAnsi="Adobe Arabic" w:cs="Adobe Arabic"/>
          <w:sz w:val="32"/>
          <w:szCs w:val="32"/>
          <w:rtl/>
        </w:rPr>
        <w:t xml:space="preserve"> هذه اللحظة توزع شهادات التقدير على المشاركين في هذا اللقاء الذي أصبح تقليدا سنويا تحييه </w:t>
      </w:r>
      <w:r w:rsidRPr="007E2506">
        <w:rPr>
          <w:rFonts w:ascii="Adobe Arabic" w:hAnsi="Adobe Arabic" w:cs="Adobe Arabic"/>
          <w:sz w:val="32"/>
          <w:szCs w:val="32"/>
          <w:rtl/>
          <w:lang w:bidi="ar-MA"/>
        </w:rPr>
        <w:t xml:space="preserve">خلية اللغة والتواصل </w:t>
      </w:r>
      <w:r w:rsidRPr="007E2506">
        <w:rPr>
          <w:rFonts w:ascii="Adobe Arabic" w:hAnsi="Adobe Arabic" w:cs="Adobe Arabic"/>
          <w:sz w:val="32"/>
          <w:szCs w:val="32"/>
          <w:rtl/>
        </w:rPr>
        <w:t xml:space="preserve">المذكورة. </w:t>
      </w:r>
    </w:p>
    <w:sectPr w:rsidR="007E2506" w:rsidRPr="007E2506" w:rsidSect="00163A9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4D" w:rsidRDefault="006A574D" w:rsidP="006809D0">
      <w:pPr>
        <w:spacing w:after="0" w:line="240" w:lineRule="auto"/>
      </w:pPr>
      <w:r>
        <w:separator/>
      </w:r>
    </w:p>
  </w:endnote>
  <w:endnote w:type="continuationSeparator" w:id="0">
    <w:p w:rsidR="006A574D" w:rsidRDefault="006A574D" w:rsidP="0068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6E" w:rsidRDefault="00332C6E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-51435</wp:posOffset>
          </wp:positionV>
          <wp:extent cx="6267450" cy="590550"/>
          <wp:effectExtent l="19050" t="0" r="0" b="0"/>
          <wp:wrapNone/>
          <wp:docPr id="1" name="Image 0" descr="F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7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4D" w:rsidRDefault="006A574D" w:rsidP="006809D0">
      <w:pPr>
        <w:spacing w:after="0" w:line="240" w:lineRule="auto"/>
      </w:pPr>
      <w:r>
        <w:separator/>
      </w:r>
    </w:p>
  </w:footnote>
  <w:footnote w:type="continuationSeparator" w:id="0">
    <w:p w:rsidR="006A574D" w:rsidRDefault="006A574D" w:rsidP="0068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9D0" w:rsidRPr="007E2506" w:rsidRDefault="007E2506" w:rsidP="004C7279">
    <w:pPr>
      <w:pStyle w:val="En-tte"/>
      <w:rPr>
        <w:rFonts w:ascii="Adobe Arabic" w:hAnsi="Adobe Arabic" w:cs="Adobe Arabic"/>
        <w:sz w:val="28"/>
        <w:szCs w:val="28"/>
      </w:rPr>
    </w:pPr>
    <w:proofErr w:type="spellStart"/>
    <w:r w:rsidRPr="007E2506">
      <w:rPr>
        <w:rFonts w:ascii="Adobe Arabic" w:hAnsi="Adobe Arabic" w:cs="Adobe Arabic"/>
        <w:sz w:val="28"/>
        <w:szCs w:val="28"/>
        <w:rtl/>
      </w:rPr>
      <w:t>الرشيدية،</w:t>
    </w:r>
    <w:proofErr w:type="spellEnd"/>
    <w:r w:rsidRPr="007E2506">
      <w:rPr>
        <w:rFonts w:ascii="Adobe Arabic" w:hAnsi="Adobe Arabic" w:cs="Adobe Arabic"/>
        <w:sz w:val="28"/>
        <w:szCs w:val="28"/>
        <w:rtl/>
      </w:rPr>
      <w:t xml:space="preserve"> 19 مارس 2012</w:t>
    </w:r>
    <w:r w:rsidR="004C7279" w:rsidRPr="007E2506">
      <w:rPr>
        <w:rFonts w:ascii="Adobe Arabic" w:hAnsi="Adobe Arabic" w:cs="Adobe Arabic"/>
        <w:noProof/>
        <w:sz w:val="28"/>
        <w:szCs w:val="28"/>
        <w:lang w:val="fr-FR"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4196080</wp:posOffset>
          </wp:positionH>
          <wp:positionV relativeFrom="paragraph">
            <wp:posOffset>-306705</wp:posOffset>
          </wp:positionV>
          <wp:extent cx="2286000" cy="600075"/>
          <wp:effectExtent l="19050" t="0" r="0" b="0"/>
          <wp:wrapNone/>
          <wp:docPr id="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09D0" w:rsidRPr="007E2506">
      <w:rPr>
        <w:rFonts w:ascii="Adobe Arabic" w:hAnsi="Adobe Arabic" w:cs="Adobe Arabic"/>
        <w:noProof/>
        <w:sz w:val="28"/>
        <w:szCs w:val="28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305330" cy="10728000"/>
          <wp:effectExtent l="19050" t="0" r="0" b="0"/>
          <wp:wrapNone/>
          <wp:docPr id="3" name="Grafik 2" descr="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5330" cy="107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0C7F"/>
    <w:multiLevelType w:val="hybridMultilevel"/>
    <w:tmpl w:val="11FAF5D6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ED7494"/>
    <w:multiLevelType w:val="hybridMultilevel"/>
    <w:tmpl w:val="4D0AF1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809D0"/>
    <w:rsid w:val="00043D6D"/>
    <w:rsid w:val="0007089F"/>
    <w:rsid w:val="000B2509"/>
    <w:rsid w:val="00163A97"/>
    <w:rsid w:val="00230E0E"/>
    <w:rsid w:val="00270FA2"/>
    <w:rsid w:val="00300E58"/>
    <w:rsid w:val="00332C6E"/>
    <w:rsid w:val="00463D06"/>
    <w:rsid w:val="004C7279"/>
    <w:rsid w:val="00564461"/>
    <w:rsid w:val="006809D0"/>
    <w:rsid w:val="006A574D"/>
    <w:rsid w:val="006B34E2"/>
    <w:rsid w:val="00705605"/>
    <w:rsid w:val="007071A5"/>
    <w:rsid w:val="007402D1"/>
    <w:rsid w:val="007E2506"/>
    <w:rsid w:val="008A422C"/>
    <w:rsid w:val="00907908"/>
    <w:rsid w:val="00AE38CA"/>
    <w:rsid w:val="00AF4321"/>
    <w:rsid w:val="00BA46E9"/>
    <w:rsid w:val="00BC067C"/>
    <w:rsid w:val="00CC65A0"/>
    <w:rsid w:val="00D2080D"/>
    <w:rsid w:val="00F1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97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E25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09D0"/>
  </w:style>
  <w:style w:type="paragraph" w:styleId="Pieddepage">
    <w:name w:val="footer"/>
    <w:basedOn w:val="Normal"/>
    <w:link w:val="PieddepageCar"/>
    <w:uiPriority w:val="99"/>
    <w:semiHidden/>
    <w:unhideWhenUsed/>
    <w:rsid w:val="0068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809D0"/>
  </w:style>
  <w:style w:type="paragraph" w:styleId="Textedebulles">
    <w:name w:val="Balloon Text"/>
    <w:basedOn w:val="Normal"/>
    <w:link w:val="TextedebullesCar"/>
    <w:uiPriority w:val="99"/>
    <w:semiHidden/>
    <w:unhideWhenUsed/>
    <w:rsid w:val="0068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9D0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7E2506"/>
    <w:rPr>
      <w:rFonts w:ascii="Cambria" w:eastAsia="Times New Roman" w:hAnsi="Cambria" w:cs="Times New Roman"/>
      <w:b/>
      <w:bCs/>
      <w:sz w:val="26"/>
      <w:szCs w:val="2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Mawmaw</dc:creator>
  <cp:lastModifiedBy>PRESIDENCE 19</cp:lastModifiedBy>
  <cp:revision>2</cp:revision>
  <dcterms:created xsi:type="dcterms:W3CDTF">2012-03-16T18:10:00Z</dcterms:created>
  <dcterms:modified xsi:type="dcterms:W3CDTF">2012-03-16T18:10:00Z</dcterms:modified>
</cp:coreProperties>
</file>